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130" w:rsidRPr="002366F2" w:rsidRDefault="001C3130" w:rsidP="001C3130">
      <w:pPr>
        <w:spacing w:before="100" w:beforeAutospacing="1" w:after="100" w:afterAutospacing="1"/>
        <w:rPr>
          <w:rFonts w:eastAsia="Times New Roman"/>
        </w:rPr>
      </w:pPr>
    </w:p>
    <w:p w:rsidR="001C3130" w:rsidRPr="002366F2" w:rsidRDefault="001C3130" w:rsidP="001C3130">
      <w:pPr>
        <w:spacing w:before="100" w:beforeAutospacing="1" w:after="100" w:afterAutospacing="1"/>
        <w:rPr>
          <w:rFonts w:eastAsia="Times New Roman"/>
        </w:rPr>
      </w:pPr>
      <w:r w:rsidRPr="002366F2">
        <w:rPr>
          <w:rFonts w:eastAsia="Times New Roman"/>
        </w:rPr>
        <w:t> </w:t>
      </w:r>
    </w:p>
    <w:p w:rsidR="001C3130" w:rsidRPr="001C3130" w:rsidRDefault="001C3130" w:rsidP="001C31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C313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LEGGE 23 novembre 2012, n. 215 </w:t>
      </w:r>
    </w:p>
    <w:p w:rsidR="001C3130" w:rsidRPr="001C3130" w:rsidRDefault="001C3130" w:rsidP="001C31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C313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Disposizioni per promuovere il riequilibrio delle rappresentanze di genere nei consigli e nelle giunte degli enti locali e nei consigli regionali. Disposizioni in materia di pari </w:t>
      </w:r>
      <w:proofErr w:type="spellStart"/>
      <w:r w:rsidRPr="001C3130">
        <w:rPr>
          <w:rFonts w:ascii="Times New Roman" w:eastAsia="Times New Roman" w:hAnsi="Times New Roman" w:cs="Times New Roman"/>
          <w:sz w:val="24"/>
          <w:szCs w:val="24"/>
          <w:lang w:eastAsia="it-IT"/>
        </w:rPr>
        <w:t>opportunita'</w:t>
      </w:r>
      <w:proofErr w:type="spellEnd"/>
      <w:r w:rsidRPr="001C313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nella composizione delle commissioni di concorso nelle pubbliche amministrazioni. (12G0237) (GU n.288 del 11-12-2012 ) </w:t>
      </w:r>
    </w:p>
    <w:p w:rsidR="001C3130" w:rsidRPr="001C3130" w:rsidRDefault="001C3130" w:rsidP="001C31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C313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note: Entrata in vigore del provvedimento: 26/12/2012 </w:t>
      </w:r>
    </w:p>
    <w:p w:rsidR="001C3130" w:rsidRPr="00440AFE" w:rsidRDefault="001C3130" w:rsidP="001C31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40AF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Il 13 novembre 2012 la Camera ha approvato definitivamente la proposta di legge </w:t>
      </w:r>
      <w:proofErr w:type="spellStart"/>
      <w:r w:rsidRPr="00440AFE">
        <w:rPr>
          <w:rFonts w:ascii="Times New Roman" w:eastAsia="Times New Roman" w:hAnsi="Times New Roman" w:cs="Times New Roman"/>
          <w:sz w:val="24"/>
          <w:szCs w:val="24"/>
          <w:lang w:eastAsia="it-IT"/>
        </w:rPr>
        <w:t>A.C.</w:t>
      </w:r>
      <w:proofErr w:type="spellEnd"/>
      <w:r w:rsidRPr="00440AF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hyperlink r:id="rId5" w:tooltip="Apri la scheda dei lavori preparatori dell'Atto Camera n. 3466-B" w:history="1">
        <w:r w:rsidRPr="00440AF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it-IT"/>
          </w:rPr>
          <w:t>3466-B</w:t>
        </w:r>
      </w:hyperlink>
      <w:r w:rsidRPr="00440AF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volta a promuovere la parità effettiva di donne e uomini nell’</w:t>
      </w:r>
      <w:r w:rsidRPr="00440AFE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accesso alle cariche elettive e ai pubblici uffici delle autonomie territoriali</w:t>
      </w:r>
      <w:r w:rsidRPr="00440AFE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1C3130" w:rsidRPr="00440AFE" w:rsidRDefault="001C3130" w:rsidP="001C31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40AFE">
        <w:rPr>
          <w:rFonts w:ascii="Times New Roman" w:eastAsia="Times New Roman" w:hAnsi="Times New Roman" w:cs="Times New Roman"/>
          <w:sz w:val="24"/>
          <w:szCs w:val="24"/>
          <w:lang w:eastAsia="it-IT"/>
        </w:rPr>
        <w:t>In particolare, il provvedimento introduce nella legislazione elettorale dei consigli comunali con popolazione superiore ai 5.000 abitanti e dei consigli circoscrizionali, due misure rilevanti:</w:t>
      </w:r>
    </w:p>
    <w:p w:rsidR="001C3130" w:rsidRPr="00440AFE" w:rsidRDefault="001C3130" w:rsidP="001C31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40AF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una </w:t>
      </w:r>
      <w:r w:rsidRPr="00440AFE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quota di lista</w:t>
      </w:r>
      <w:r w:rsidRPr="00440AFE">
        <w:rPr>
          <w:rFonts w:ascii="Times New Roman" w:eastAsia="Times New Roman" w:hAnsi="Times New Roman" w:cs="Times New Roman"/>
          <w:sz w:val="24"/>
          <w:szCs w:val="24"/>
          <w:lang w:eastAsia="it-IT"/>
        </w:rPr>
        <w:t>, in virtù della quale nessuno dei due sessi può essere rappresentato nelle liste in misura superiore ai due terzi dei candidati;</w:t>
      </w:r>
    </w:p>
    <w:p w:rsidR="001C3130" w:rsidRPr="00440AFE" w:rsidRDefault="001C3130" w:rsidP="001C31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40AFE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la c.d. </w:t>
      </w:r>
      <w:r w:rsidRPr="00440AFE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doppia preferenza di genere</w:t>
      </w:r>
      <w:r w:rsidRPr="00440AFE">
        <w:rPr>
          <w:rFonts w:ascii="Times New Roman" w:eastAsia="Times New Roman" w:hAnsi="Times New Roman" w:cs="Times New Roman"/>
          <w:sz w:val="24"/>
          <w:szCs w:val="24"/>
          <w:lang w:eastAsia="it-IT"/>
        </w:rPr>
        <w:t>, ossia la possibilità di esprimere due preferenze per i candidati a consigliere comunale: una per un candidato di sesso maschile e l’altra per un candidato di sesso femminile della stessa lista. In caso di mancato rispetto della disposizione, si prevede l’annullamento della seconda preferenza.</w:t>
      </w:r>
    </w:p>
    <w:p w:rsidR="001C3130" w:rsidRPr="00440AFE" w:rsidRDefault="001C3130" w:rsidP="001C31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40AFE">
        <w:rPr>
          <w:rFonts w:ascii="Times New Roman" w:eastAsia="Times New Roman" w:hAnsi="Times New Roman" w:cs="Times New Roman"/>
          <w:sz w:val="24"/>
          <w:szCs w:val="24"/>
          <w:lang w:eastAsia="it-IT"/>
        </w:rPr>
        <w:t>Per quanto riguarda le giunte degli enti locali ed i consigli regionali, non sono previste singole misure, ma è fissato il principio per cui l’atto di nomina o la legge elettorale regionale devono garantire la presenza di entrambi i sessi.</w:t>
      </w:r>
    </w:p>
    <w:p w:rsidR="001C3130" w:rsidRPr="00440AFE" w:rsidRDefault="001C3130" w:rsidP="001C31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40AFE">
        <w:rPr>
          <w:rFonts w:ascii="Times New Roman" w:eastAsia="Times New Roman" w:hAnsi="Times New Roman" w:cs="Times New Roman"/>
          <w:sz w:val="24"/>
          <w:szCs w:val="24"/>
          <w:lang w:eastAsia="it-IT"/>
        </w:rPr>
        <w:t>La proposta di legge  introduce, inoltre, disposizioni in materia di comunicazione politica e di parità nelle commissioni di concorso per l’accesso al lavoro nelle pubbliche amministrazioni.</w:t>
      </w:r>
    </w:p>
    <w:p w:rsidR="00655C88" w:rsidRDefault="00655C88"/>
    <w:sectPr w:rsidR="00655C88" w:rsidSect="00655C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F7FF2"/>
    <w:multiLevelType w:val="multilevel"/>
    <w:tmpl w:val="9A5A0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/>
  <w:defaultTabStop w:val="708"/>
  <w:hyphenationZone w:val="283"/>
  <w:characterSpacingControl w:val="doNotCompress"/>
  <w:compat/>
  <w:rsids>
    <w:rsidRoot w:val="001C3130"/>
    <w:rsid w:val="001C3130"/>
    <w:rsid w:val="00424CE0"/>
    <w:rsid w:val="005F4B34"/>
    <w:rsid w:val="00655C88"/>
    <w:rsid w:val="00996B04"/>
    <w:rsid w:val="00CB102C"/>
    <w:rsid w:val="00D07F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C3130"/>
    <w:pPr>
      <w:spacing w:after="200" w:line="276" w:lineRule="auto"/>
    </w:pPr>
    <w:rPr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grassetto">
    <w:name w:val="grassetto"/>
    <w:basedOn w:val="Normale"/>
    <w:rsid w:val="001C31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ferimento">
    <w:name w:val="riferimento"/>
    <w:basedOn w:val="Carpredefinitoparagrafo"/>
    <w:rsid w:val="001C3130"/>
  </w:style>
  <w:style w:type="character" w:customStyle="1" w:styleId="rosso">
    <w:name w:val="rosso"/>
    <w:basedOn w:val="Carpredefinitoparagrafo"/>
    <w:rsid w:val="001C31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01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4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94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documenti.camera.it/apps/commonServices/getDocumento.ashx?sezione=lavori&amp;idLegislatura=16&amp;tipoDoc=pdl&amp;idDocumento=3466-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291</Words>
  <Characters>1663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Rosanna1</dc:creator>
  <cp:lastModifiedBy>Rosanna1</cp:lastModifiedBy>
  <cp:revision>2</cp:revision>
  <dcterms:created xsi:type="dcterms:W3CDTF">2013-04-18T11:11:00Z</dcterms:created>
  <dcterms:modified xsi:type="dcterms:W3CDTF">2013-04-18T11:11:00Z</dcterms:modified>
</cp:coreProperties>
</file>